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Hans" w:bidi="ar"/>
        </w:rPr>
        <w:t>项目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绩效自评报告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2023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年度）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项目名称：</w:t>
      </w:r>
      <w:r>
        <w:rPr>
          <w:rFonts w:ascii="仿宋" w:hAnsi="仿宋" w:eastAsia="仿宋" w:cs="仿宋"/>
          <w:b/>
          <w:sz w:val="32"/>
        </w:rPr>
        <w:t>中共赤峰市委党校（赤峰市行政学院、赤峰市社会主义学院）校园建设项目</w:t>
      </w: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主管部门：</w:t>
      </w:r>
      <w:r>
        <w:rPr>
          <w:rFonts w:ascii="仿宋" w:hAnsi="仿宋" w:eastAsia="仿宋" w:cs="仿宋"/>
          <w:b/>
          <w:sz w:val="32"/>
        </w:rPr>
        <w:t>中共赤峰市委员会党校（部门）</w:t>
      </w: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年   月   日</w:t>
      </w:r>
    </w:p>
    <w:p>
      <w:pPr>
        <w:ind w:firstLine="1606" w:firstLineChars="5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（盖章）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620" w:lineRule="exact"/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</w:t>
      </w:r>
      <w:r>
        <w:rPr>
          <w:rFonts w:ascii="方正小标宋简体" w:hAnsi="方正小标宋简体" w:eastAsia="方正小标宋简体" w:cs="方正小标宋简体"/>
          <w:sz w:val="44"/>
        </w:rPr>
        <w:t>中共赤峰市委党校（赤峰市行政学院、赤峰市社会主义学院）校园建设项目项目绩效自评报告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spacing w:before="188" w:line="204" w:lineRule="auto"/>
        <w:ind w:firstLine="577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（一）项目基本情况简介。</w:t>
      </w:r>
    </w:p>
    <w:p>
      <w:pPr>
        <w:spacing w:line="620" w:lineRule="exact"/>
        <w:ind w:firstLine="990" w:firstLineChars="330"/>
        <w:rPr>
          <w:rFonts w:hint="eastAsia" w:ascii="仿宋"/>
          <w:sz w:val="32"/>
        </w:rPr>
      </w:pPr>
      <w:r>
        <w:rPr>
          <w:rFonts w:hint="eastAsia" w:ascii="仿宋"/>
          <w:sz w:val="30"/>
          <w:szCs w:val="30"/>
        </w:rPr>
        <w:t>为认真贯彻落实市委市政府关于对中共赤峰市委党校校园规划建设、改善办学条件，大幅度提升干部教育培训质量和水平的决策部署，实施校园建设项目，新建建筑面积55558.29平方米，地上建筑面积46595.23平方米，地下建筑面积8963.06平方米，2023年申请债券资金3000万</w:t>
      </w:r>
    </w:p>
    <w:p>
      <w:pPr>
        <w:numPr>
          <w:ilvl w:val="0"/>
          <w:numId w:val="2"/>
        </w:numPr>
        <w:spacing w:before="188" w:line="204" w:lineRule="auto"/>
        <w:ind w:firstLine="577"/>
        <w:rPr>
          <w:rFonts w:ascii="仿宋" w:hAnsi="仿宋" w:eastAsia="仿宋" w:cs="仿宋"/>
          <w:spacing w:val="8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绩效目标设定及</w:t>
      </w:r>
      <w:r>
        <w:rPr>
          <w:rFonts w:hint="eastAsia" w:ascii="仿宋" w:hAnsi="仿宋" w:eastAsia="仿宋" w:cs="仿宋"/>
          <w:spacing w:val="8"/>
          <w:sz w:val="30"/>
          <w:szCs w:val="30"/>
          <w:lang w:val="en-US" w:eastAsia="zh-CN"/>
        </w:rPr>
        <w:t>指标</w:t>
      </w:r>
      <w:r>
        <w:rPr>
          <w:rFonts w:ascii="仿宋" w:hAnsi="仿宋" w:eastAsia="仿宋" w:cs="仿宋"/>
          <w:spacing w:val="8"/>
          <w:sz w:val="30"/>
          <w:szCs w:val="30"/>
        </w:rPr>
        <w:t>完成情况。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预期目标：</w:t>
      </w:r>
      <w:r>
        <w:rPr>
          <w:rFonts w:ascii="仿宋" w:hAnsi="仿宋" w:eastAsia="仿宋" w:cs="仿宋"/>
          <w:color w:val="auto"/>
          <w:spacing w:val="8"/>
          <w:sz w:val="30"/>
        </w:rPr>
        <w:t>1、施工单位进场，完成场地准备及临时设施建设；2、完成地下室土建工程；3、完成地上主体土建工程；4、按合同支付各项费用。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default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绩效目标实际完成情况：</w:t>
      </w:r>
      <w:r>
        <w:rPr>
          <w:rFonts w:ascii="仿宋" w:hAnsi="仿宋" w:eastAsia="仿宋" w:cs="仿宋"/>
          <w:color w:val="auto"/>
          <w:spacing w:val="8"/>
          <w:sz w:val="30"/>
        </w:rPr>
        <w:t>截止2023年底，该项目资金支出3000万元，完成了施工单位进场，完成场地准备及临时设施建设、完成地下室土建工程等，通过该项目的实施，实现了校园建设项目稳步进行，有助于校园建设项目完成后满足教育教学需要，提升干部教育培训质量和水平，充分发挥党校培训干部主渠道作用</w:t>
      </w:r>
    </w:p>
    <w:p>
      <w:pPr>
        <w:spacing w:line="620" w:lineRule="exact"/>
        <w:ind w:firstLine="640"/>
        <w:rPr>
          <w:rFonts w:hint="eastAsia" w:ascii="仿宋"/>
          <w:sz w:val="32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绩效自评工作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numPr>
          <w:ilvl w:val="0"/>
          <w:numId w:val="3"/>
        </w:numPr>
        <w:spacing w:before="188" w:line="204" w:lineRule="auto"/>
        <w:ind w:firstLine="577"/>
        <w:rPr>
          <w:rFonts w:ascii="仿宋" w:hAnsi="仿宋" w:eastAsia="仿宋" w:cs="仿宋"/>
          <w:spacing w:val="1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绩效自评目的。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为规范和加强财政支出管理，强化支出责任，建立科学、规范的财政支出绩效评价管理体系，提高财政资金使用效益，我校通过对校园建设项目立项情况、资金使用情况、项目实施管理情况、项目绩效表现情况进行自我评价，了解资金使用是否达到了预期目标，检验资金支出效率和效果。及时发现自身存在的问题提出解决方案，采取有力的措施，确保项目顺利实施及时发挥效益，我单位对校园建设项目项目进行绩效自评，对资金产出及其效益进行综合评价和判断。</w:t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（二）项目资金投入情况。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本年度资金年初预算数</w:t>
      </w:r>
      <w:r>
        <w:rPr>
          <w:rFonts w:ascii="仿宋" w:hAnsi="仿宋" w:eastAsia="仿宋" w:cs="仿宋"/>
          <w:color w:val="auto"/>
          <w:spacing w:val="4"/>
          <w:sz w:val="30"/>
        </w:rPr>
        <w:t>3000.00万元，其中：财政拨款3000.00万元，其他资金0.00万元。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本年度资金全年预算数</w:t>
      </w:r>
      <w:r>
        <w:rPr>
          <w:rFonts w:ascii="仿宋" w:hAnsi="仿宋" w:eastAsia="仿宋" w:cs="仿宋"/>
          <w:color w:val="auto"/>
          <w:spacing w:val="4"/>
          <w:sz w:val="30"/>
        </w:rPr>
        <w:t>3000.00万元，其中：财政拨款3000.00万元，其他资金0万元。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本年度资金全年执行数</w:t>
      </w:r>
      <w:r>
        <w:rPr>
          <w:rFonts w:ascii="仿宋" w:hAnsi="仿宋" w:eastAsia="仿宋" w:cs="仿宋"/>
          <w:color w:val="auto"/>
          <w:spacing w:val="4"/>
          <w:sz w:val="30"/>
        </w:rPr>
        <w:t>3000.00万元，其中：财政拨款3000.00万元，其他资金0.00万元。</w:t>
      </w:r>
    </w:p>
    <w:p>
      <w:pPr>
        <w:numPr>
          <w:ilvl w:val="0"/>
          <w:numId w:val="3"/>
        </w:numPr>
        <w:spacing w:before="188" w:line="204" w:lineRule="auto"/>
        <w:ind w:left="0" w:leftChars="0" w:firstLine="616" w:firstLineChars="200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项目资金产出情况。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 xml:space="preserve">本项目预算资金3000万元，到位资金3000万元，实际支出3000万元，预算执行率100%。资金主要用于土建工程费用、监理费、建设工程施工图审查费以及建设工程其他费等，各类资金支出准确无误，有完整的审批手续，不存在超范围超标准支出，挤占挪用等违法违规问题，财务处理合法合规。                                                                   </w:t>
      </w:r>
    </w:p>
    <w:p>
      <w:pPr>
        <w:numPr>
          <w:ilvl w:val="0"/>
          <w:numId w:val="3"/>
        </w:numPr>
        <w:spacing w:before="189" w:line="204" w:lineRule="auto"/>
        <w:ind w:left="0" w:leftChars="0" w:firstLine="608" w:firstLineChars="200"/>
        <w:rPr>
          <w:rFonts w:ascii="仿宋" w:hAnsi="仿宋" w:eastAsia="仿宋" w:cs="仿宋"/>
          <w:spacing w:val="2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项目资金管理情况。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项目预期目标已完成，我单位在遵守国家、自治区、相关政策与管理办法的同时，还制定了单位的《财务管理制度》，制度包含预算管理、收入管理、支出管理、往来资金结算管理、现金及银行存款管理、结转结余资金管理等制度，在制度上为校园建设项目资金使用提供了指导以及规范。实际支出与项目规定的用途一致，不存在超范围超标准支出、挤占挪用等违法违规行为，资金管理状况良好。</w:t>
      </w:r>
    </w:p>
    <w:p>
      <w:pPr>
        <w:numPr>
          <w:ilvl w:val="0"/>
          <w:numId w:val="0"/>
        </w:numPr>
        <w:spacing w:before="189" w:line="204" w:lineRule="auto"/>
        <w:ind w:leftChars="200"/>
        <w:rPr>
          <w:rFonts w:ascii="仿宋" w:hAnsi="仿宋" w:eastAsia="仿宋" w:cs="仿宋"/>
          <w:spacing w:val="2"/>
          <w:sz w:val="30"/>
          <w:szCs w:val="30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项目绩效情况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(一) 产出指标完成情况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1、数量指标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1)地上土建工程数量，目标值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 w:cs="仿宋"/>
          <w:sz w:val="32"/>
        </w:rPr>
        <w:t>项，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1项，分值7.5，得分7.5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2)建设工程施工图审查费，目标值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 w:cs="仿宋"/>
          <w:sz w:val="32"/>
        </w:rPr>
        <w:t>项，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1项，分值7.5，得分7.5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2、质量指标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3)土建工程合格率，目标值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等于</w:t>
      </w:r>
      <w:r>
        <w:rPr>
          <w:rFonts w:hint="eastAsia" w:ascii="仿宋" w:hAnsi="仿宋" w:eastAsia="仿宋"/>
          <w:sz w:val="32"/>
          <w:szCs w:val="32"/>
        </w:rPr>
        <w:t>100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100%，分值7.5，得分7.5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4)地下室工程土建工程合格率，目标值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等于</w:t>
      </w:r>
      <w:r>
        <w:rPr>
          <w:rFonts w:hint="eastAsia" w:ascii="仿宋" w:hAnsi="仿宋" w:eastAsia="仿宋"/>
          <w:sz w:val="32"/>
          <w:szCs w:val="32"/>
        </w:rPr>
        <w:t>100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100%，分值7.5，得分7.5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3、时效指标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5)地下室工程土建工程完工及时率，目标值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等于</w:t>
      </w:r>
      <w:r>
        <w:rPr>
          <w:rFonts w:hint="eastAsia" w:ascii="仿宋" w:hAnsi="仿宋" w:eastAsia="仿宋"/>
          <w:sz w:val="32"/>
          <w:szCs w:val="32"/>
        </w:rPr>
        <w:t>100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6)验收及时率，目标值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等于</w:t>
      </w:r>
      <w:r>
        <w:rPr>
          <w:rFonts w:hint="eastAsia" w:ascii="仿宋" w:hAnsi="仿宋" w:eastAsia="仿宋"/>
          <w:sz w:val="32"/>
          <w:szCs w:val="32"/>
        </w:rPr>
        <w:t>100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4、成本指标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7)地上土建工程成本，目标值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1600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1600万元，分值2.5，得分2.5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8)监理费，目标值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100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100万元，分值2.5，得分2.5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9)建设工程其他费，目标值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300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300万元，分值2.5，得分2.5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10)建设工程施工图审查费单价，目标值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1000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1000万元，分值2.5，得分2.5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(二) 效益指标完成情况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5、经济效益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11)城区投资环境，目标值</w:t>
      </w:r>
      <w:r>
        <w:rPr>
          <w:rFonts w:hint="eastAsia" w:ascii="仿宋" w:hAnsi="仿宋" w:eastAsia="仿宋"/>
          <w:sz w:val="32"/>
          <w:szCs w:val="32"/>
        </w:rPr>
        <w:t>有所提升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有所提升，分值7.5，得分7.5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6、社会效益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12)文化教育事业发展，目标值</w:t>
      </w:r>
      <w:r>
        <w:rPr>
          <w:rFonts w:hint="eastAsia" w:ascii="仿宋" w:hAnsi="仿宋" w:eastAsia="仿宋"/>
          <w:sz w:val="32"/>
          <w:szCs w:val="32"/>
        </w:rPr>
        <w:t>有所提升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有所提升，分值7.5，得分7.5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7、生态效益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13)城市绿化覆盖率，目标值</w:t>
      </w:r>
      <w:r>
        <w:rPr>
          <w:rFonts w:hint="eastAsia" w:ascii="仿宋" w:hAnsi="仿宋" w:eastAsia="仿宋"/>
          <w:sz w:val="32"/>
          <w:szCs w:val="32"/>
        </w:rPr>
        <w:t>有所提升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有所提升，分值7.5，得分7.5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8、可持续影响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14)公共事业发展建设，目标值</w:t>
      </w:r>
      <w:r>
        <w:rPr>
          <w:rFonts w:hint="eastAsia" w:ascii="仿宋" w:hAnsi="仿宋" w:eastAsia="仿宋"/>
          <w:sz w:val="32"/>
          <w:szCs w:val="32"/>
        </w:rPr>
        <w:t>持续提升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持续提升，分值7.5，得分7.5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(三) 满意度指标完成情况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9、服务对象满意度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15)受益群众满意度，目标值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99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自评得分情况</w:t>
      </w:r>
    </w:p>
    <w:p>
      <w:pPr>
        <w:spacing w:line="620" w:lineRule="exact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eastAsia="仿宋_GB2312" w:cs="仿宋_GB2312"/>
          <w:sz w:val="32"/>
        </w:rPr>
        <w:t>100分，等级为A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存在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项目立项、实施存在问题。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 w:cs="仿宋"/>
          <w:sz w:val="32"/>
        </w:rPr>
        <w:t>. 本项目立项实施根据《赤峰市城市总体规划（2012-2030年）》等政策文件开展，项目报发改委审批，按照规定的程序申请设立，不存在问题。2023年已实施完成场地准备及临时设施建设、地下室土建工程等。2023年项目有序进行，保障了我单位校园建设项目的顺利开展。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资金管理使用存在问题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 w:cs="仿宋"/>
          <w:sz w:val="32"/>
        </w:rPr>
        <w:t>. 本项目专款专用，统筹安排，按照计划管理，按照实际发生支付，实际支出与项目规定的用途一致，不存在超范围超标准指出，挤占挪用等违法违规问题，资金管理不存在问题。</w:t>
      </w:r>
    </w:p>
    <w:p>
      <w:pPr>
        <w:spacing w:line="240" w:lineRule="auto"/>
        <w:ind w:left="420" w:firstLine="420" w:firstLineChars="0"/>
        <w:rPr>
          <w:rFonts w:ascii="仿宋" w:hAnsi="仿宋" w:eastAsia="仿宋"/>
          <w:b/>
          <w:sz w:val="32"/>
          <w:szCs w:val="32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五、其他需要说明的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spacing w:before="188" w:line="204" w:lineRule="auto"/>
        <w:ind w:firstLine="5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（一）后续工作计划。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市委党校将继续推进党校教学质量培训和服务学员工作： 1.提高党校（行政学院）教学质量，推进党的理论创新，为党委和政府决策服务； 2.持续推进实施教学质量提升工程，锻炼队伍、培养人才、推出名课、培养名师，促进教学专题质量的全面提升；3.推进教研咨一体化，及时将科研成果转化成教学专题和教学内容，实现教学与科研、咨询良性互动。</w:t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-1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（二）措施及办法。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 w:cs="仿宋"/>
          <w:sz w:val="32"/>
        </w:rPr>
        <w:t>. 加强年初预算管理，参考多方因素，完善项目设立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 w:cs="仿宋"/>
          <w:sz w:val="32"/>
        </w:rPr>
        <w:t>. 继续严格按照相关管理制度要求，严格规范使用项目资金，做到来源清楚、去向明确，进一步提高资金使用的规范性。</w:t>
      </w: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left="590" w:firstLine="643"/>
        <w:rPr>
          <w:rFonts w:ascii="仿宋" w:hAnsi="仿宋" w:eastAsia="仿宋"/>
          <w:b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BB1F1"/>
    <w:multiLevelType w:val="multilevel"/>
    <w:tmpl w:val="994BB1F1"/>
    <w:lvl w:ilvl="0" w:tentative="0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0" w:hanging="420"/>
      </w:pPr>
    </w:lvl>
    <w:lvl w:ilvl="2" w:tentative="0">
      <w:start w:val="1"/>
      <w:numFmt w:val="lowerRoman"/>
      <w:lvlText w:val="%3."/>
      <w:lvlJc w:val="right"/>
      <w:pPr>
        <w:ind w:left="1850" w:hanging="420"/>
      </w:pPr>
    </w:lvl>
    <w:lvl w:ilvl="3" w:tentative="0">
      <w:start w:val="1"/>
      <w:numFmt w:val="decimal"/>
      <w:lvlText w:val="%4."/>
      <w:lvlJc w:val="left"/>
      <w:pPr>
        <w:ind w:left="2270" w:hanging="420"/>
      </w:pPr>
    </w:lvl>
    <w:lvl w:ilvl="4" w:tentative="0">
      <w:start w:val="1"/>
      <w:numFmt w:val="lowerLetter"/>
      <w:lvlText w:val="%5)"/>
      <w:lvlJc w:val="left"/>
      <w:pPr>
        <w:ind w:left="2690" w:hanging="420"/>
      </w:pPr>
    </w:lvl>
    <w:lvl w:ilvl="5" w:tentative="0">
      <w:start w:val="1"/>
      <w:numFmt w:val="lowerRoman"/>
      <w:lvlText w:val="%6."/>
      <w:lvlJc w:val="right"/>
      <w:pPr>
        <w:ind w:left="3110" w:hanging="420"/>
      </w:pPr>
    </w:lvl>
    <w:lvl w:ilvl="6" w:tentative="0">
      <w:start w:val="1"/>
      <w:numFmt w:val="decimal"/>
      <w:lvlText w:val="%7."/>
      <w:lvlJc w:val="left"/>
      <w:pPr>
        <w:ind w:left="3530" w:hanging="420"/>
      </w:pPr>
    </w:lvl>
    <w:lvl w:ilvl="7" w:tentative="0">
      <w:start w:val="1"/>
      <w:numFmt w:val="lowerLetter"/>
      <w:lvlText w:val="%8)"/>
      <w:lvlJc w:val="left"/>
      <w:pPr>
        <w:ind w:left="3950" w:hanging="420"/>
      </w:pPr>
    </w:lvl>
    <w:lvl w:ilvl="8" w:tentative="0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ADA24D32"/>
    <w:multiLevelType w:val="singleLevel"/>
    <w:tmpl w:val="ADA24D32"/>
    <w:lvl w:ilvl="0" w:tentative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abstractNum w:abstractNumId="2">
    <w:nsid w:val="FBB8592C"/>
    <w:multiLevelType w:val="singleLevel"/>
    <w:tmpl w:val="FBB859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CF258D6"/>
    <w:multiLevelType w:val="singleLevel"/>
    <w:tmpl w:val="0CF258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zIzZTYxNzYyMTBiMzNiMDUxODg5NTdjYzRiNTUifQ=="/>
  </w:docVars>
  <w:rsids>
    <w:rsidRoot w:val="2B6F4C9D"/>
    <w:rsid w:val="000A297C"/>
    <w:rsid w:val="004C2775"/>
    <w:rsid w:val="004D77F5"/>
    <w:rsid w:val="00756160"/>
    <w:rsid w:val="00852652"/>
    <w:rsid w:val="00867BA5"/>
    <w:rsid w:val="0096249A"/>
    <w:rsid w:val="00AF50B8"/>
    <w:rsid w:val="00B12946"/>
    <w:rsid w:val="00CA048F"/>
    <w:rsid w:val="00E024D2"/>
    <w:rsid w:val="00E54742"/>
    <w:rsid w:val="01614212"/>
    <w:rsid w:val="026752A9"/>
    <w:rsid w:val="03C2244D"/>
    <w:rsid w:val="049C7DEF"/>
    <w:rsid w:val="04A96372"/>
    <w:rsid w:val="04C2697B"/>
    <w:rsid w:val="05156224"/>
    <w:rsid w:val="069550DB"/>
    <w:rsid w:val="06AB7BA4"/>
    <w:rsid w:val="07CB6A82"/>
    <w:rsid w:val="084D2748"/>
    <w:rsid w:val="0C062F64"/>
    <w:rsid w:val="0F0A7121"/>
    <w:rsid w:val="0F18115A"/>
    <w:rsid w:val="0F4B3357"/>
    <w:rsid w:val="0F6F185A"/>
    <w:rsid w:val="0FDC5FFD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E674D08"/>
    <w:rsid w:val="1EAB64DA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73E5672"/>
    <w:rsid w:val="27530461"/>
    <w:rsid w:val="288E0795"/>
    <w:rsid w:val="291D29FD"/>
    <w:rsid w:val="2B223F6D"/>
    <w:rsid w:val="2B6F4C9D"/>
    <w:rsid w:val="2C5E2E59"/>
    <w:rsid w:val="2DE23A3A"/>
    <w:rsid w:val="2E8E1287"/>
    <w:rsid w:val="300E3D77"/>
    <w:rsid w:val="30533016"/>
    <w:rsid w:val="30B80E03"/>
    <w:rsid w:val="33255290"/>
    <w:rsid w:val="33D877D8"/>
    <w:rsid w:val="35AE68A5"/>
    <w:rsid w:val="36CD16A7"/>
    <w:rsid w:val="38E64707"/>
    <w:rsid w:val="3A8859B9"/>
    <w:rsid w:val="3DE61665"/>
    <w:rsid w:val="3E1153AE"/>
    <w:rsid w:val="3E516972"/>
    <w:rsid w:val="3EE47779"/>
    <w:rsid w:val="404969DC"/>
    <w:rsid w:val="40B53B29"/>
    <w:rsid w:val="41A437D2"/>
    <w:rsid w:val="43CB6518"/>
    <w:rsid w:val="43D60DED"/>
    <w:rsid w:val="44FE14DD"/>
    <w:rsid w:val="49E56F9C"/>
    <w:rsid w:val="4A926FD7"/>
    <w:rsid w:val="4DD15688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9B56326"/>
    <w:rsid w:val="5A0C4685"/>
    <w:rsid w:val="5A553285"/>
    <w:rsid w:val="5AB43B01"/>
    <w:rsid w:val="5D55237F"/>
    <w:rsid w:val="5F12091C"/>
    <w:rsid w:val="5FB20796"/>
    <w:rsid w:val="5FBDFEA1"/>
    <w:rsid w:val="5FC44E2D"/>
    <w:rsid w:val="5FD626AD"/>
    <w:rsid w:val="604010EC"/>
    <w:rsid w:val="610E05D3"/>
    <w:rsid w:val="62215294"/>
    <w:rsid w:val="65FC618C"/>
    <w:rsid w:val="660310CC"/>
    <w:rsid w:val="66161B6A"/>
    <w:rsid w:val="66984919"/>
    <w:rsid w:val="66F07E69"/>
    <w:rsid w:val="671B478E"/>
    <w:rsid w:val="676F702D"/>
    <w:rsid w:val="6A582252"/>
    <w:rsid w:val="6AD82D16"/>
    <w:rsid w:val="6B464D38"/>
    <w:rsid w:val="6BDF3DCF"/>
    <w:rsid w:val="6C5075F1"/>
    <w:rsid w:val="6C670BB6"/>
    <w:rsid w:val="6DD40FF8"/>
    <w:rsid w:val="71565F3F"/>
    <w:rsid w:val="72502DE7"/>
    <w:rsid w:val="74114A65"/>
    <w:rsid w:val="74DC7A51"/>
    <w:rsid w:val="753554DD"/>
    <w:rsid w:val="75A24B0F"/>
    <w:rsid w:val="76AB03E2"/>
    <w:rsid w:val="76D1210E"/>
    <w:rsid w:val="77AC22DD"/>
    <w:rsid w:val="77B83789"/>
    <w:rsid w:val="78691D8F"/>
    <w:rsid w:val="78F52A46"/>
    <w:rsid w:val="793C6850"/>
    <w:rsid w:val="7ABC43C8"/>
    <w:rsid w:val="7CA67A3C"/>
    <w:rsid w:val="7DAE3E8B"/>
    <w:rsid w:val="7E77AE1E"/>
    <w:rsid w:val="7FB6D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rFonts w:ascii="宋体" w:hAnsi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382</Words>
  <Characters>1382</Characters>
  <Lines>16</Lines>
  <Paragraphs>4</Paragraphs>
  <TotalTime>1</TotalTime>
  <ScaleCrop>false</ScaleCrop>
  <LinksUpToDate>false</LinksUpToDate>
  <CharactersWithSpaces>1395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2021-01-19T07:13:00Z</dcterms:created>
  <dc:creator>Administrator</dc:creator>
  <cp:lastModifiedBy>Administrator</cp:lastModifiedBy>
  <dcterms:modified xsi:type="dcterms:W3CDTF">2024-03-15T08:40:14Z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97B810A63AF8486EB659EC423D9F68AA</vt:lpwstr>
  </property>
</Properties>
</file>